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D2E" w:rsidRDefault="00190D2E" w:rsidP="00583B4E">
      <w:pPr>
        <w:spacing w:after="240" w:line="480" w:lineRule="auto"/>
        <w:ind w:firstLine="720"/>
        <w:rPr>
          <w:b/>
        </w:rPr>
      </w:pPr>
    </w:p>
    <w:p w:rsidR="00190D2E" w:rsidRDefault="00190D2E" w:rsidP="00583B4E">
      <w:pPr>
        <w:spacing w:after="240" w:line="480" w:lineRule="auto"/>
        <w:ind w:firstLine="720"/>
        <w:rPr>
          <w:b/>
        </w:rPr>
      </w:pPr>
    </w:p>
    <w:p w:rsidR="00190D2E" w:rsidRDefault="00190D2E" w:rsidP="00583B4E">
      <w:pPr>
        <w:spacing w:after="240" w:line="480" w:lineRule="auto"/>
        <w:ind w:firstLine="720"/>
        <w:rPr>
          <w:b/>
        </w:rPr>
      </w:pPr>
    </w:p>
    <w:p w:rsidR="00190D2E" w:rsidRDefault="00190D2E" w:rsidP="00583B4E">
      <w:pPr>
        <w:spacing w:after="240" w:line="480" w:lineRule="auto"/>
        <w:jc w:val="center"/>
        <w:rPr>
          <w:b/>
        </w:rPr>
      </w:pPr>
      <w:r w:rsidRPr="00265126">
        <w:rPr>
          <w:b/>
        </w:rPr>
        <w:t>Sony Financial Holdings</w:t>
      </w:r>
      <w:r>
        <w:rPr>
          <w:b/>
        </w:rPr>
        <w:t xml:space="preserve"> Investment</w:t>
      </w:r>
    </w:p>
    <w:p w:rsidR="00190D2E" w:rsidRPr="00E943DF" w:rsidRDefault="00190D2E" w:rsidP="00583B4E">
      <w:pPr>
        <w:spacing w:line="480" w:lineRule="auto"/>
        <w:jc w:val="center"/>
      </w:pPr>
      <w:r w:rsidRPr="00E943DF">
        <w:t>Student’s Name</w:t>
      </w:r>
    </w:p>
    <w:p w:rsidR="00190D2E" w:rsidRPr="00E943DF" w:rsidRDefault="00190D2E" w:rsidP="00583B4E">
      <w:pPr>
        <w:tabs>
          <w:tab w:val="center" w:pos="4680"/>
          <w:tab w:val="left" w:pos="7050"/>
        </w:tabs>
        <w:spacing w:line="480" w:lineRule="auto"/>
        <w:jc w:val="center"/>
      </w:pPr>
      <w:r w:rsidRPr="00E943DF">
        <w:t>Institutional Affiliation</w:t>
      </w:r>
    </w:p>
    <w:p w:rsidR="00190D2E" w:rsidRPr="00E943DF" w:rsidRDefault="00190D2E" w:rsidP="00583B4E">
      <w:pPr>
        <w:spacing w:line="480" w:lineRule="auto"/>
        <w:jc w:val="center"/>
      </w:pPr>
      <w:r w:rsidRPr="00E943DF">
        <w:t>Course Code and Number</w:t>
      </w:r>
    </w:p>
    <w:p w:rsidR="00190D2E" w:rsidRPr="00E943DF" w:rsidRDefault="00190D2E" w:rsidP="00583B4E">
      <w:pPr>
        <w:spacing w:line="480" w:lineRule="auto"/>
        <w:jc w:val="center"/>
      </w:pPr>
      <w:r w:rsidRPr="00E943DF">
        <w:t>Instructor’s Name</w:t>
      </w:r>
    </w:p>
    <w:p w:rsidR="00190D2E" w:rsidRDefault="00190D2E" w:rsidP="00583B4E">
      <w:pPr>
        <w:spacing w:after="240" w:line="480" w:lineRule="auto"/>
        <w:jc w:val="center"/>
        <w:rPr>
          <w:b/>
        </w:rPr>
      </w:pPr>
      <w:r w:rsidRPr="00E943DF">
        <w:t>Date</w:t>
      </w:r>
    </w:p>
    <w:p w:rsidR="00190D2E" w:rsidRDefault="00190D2E" w:rsidP="00583B4E">
      <w:pPr>
        <w:spacing w:after="240" w:line="480" w:lineRule="auto"/>
        <w:ind w:firstLine="720"/>
        <w:rPr>
          <w:b/>
        </w:rPr>
      </w:pPr>
    </w:p>
    <w:p w:rsidR="00190D2E" w:rsidRDefault="00190D2E" w:rsidP="00583B4E">
      <w:pPr>
        <w:spacing w:after="240" w:line="480" w:lineRule="auto"/>
        <w:ind w:firstLine="720"/>
        <w:rPr>
          <w:b/>
        </w:rPr>
      </w:pPr>
    </w:p>
    <w:p w:rsidR="00190D2E" w:rsidRDefault="00190D2E" w:rsidP="00583B4E">
      <w:pPr>
        <w:spacing w:after="240" w:line="480" w:lineRule="auto"/>
        <w:ind w:firstLine="720"/>
        <w:rPr>
          <w:b/>
        </w:rPr>
      </w:pPr>
    </w:p>
    <w:p w:rsidR="00190D2E" w:rsidRDefault="00190D2E" w:rsidP="00583B4E">
      <w:pPr>
        <w:spacing w:after="240" w:line="480" w:lineRule="auto"/>
        <w:ind w:firstLine="720"/>
        <w:rPr>
          <w:b/>
        </w:rPr>
      </w:pPr>
    </w:p>
    <w:p w:rsidR="00190D2E" w:rsidRDefault="00190D2E" w:rsidP="00583B4E">
      <w:pPr>
        <w:spacing w:after="240" w:line="480" w:lineRule="auto"/>
        <w:ind w:firstLine="720"/>
        <w:rPr>
          <w:b/>
        </w:rPr>
      </w:pPr>
    </w:p>
    <w:p w:rsidR="00190D2E" w:rsidRDefault="00190D2E" w:rsidP="00583B4E">
      <w:pPr>
        <w:spacing w:after="240" w:line="480" w:lineRule="auto"/>
        <w:ind w:firstLine="720"/>
        <w:rPr>
          <w:b/>
        </w:rPr>
      </w:pPr>
    </w:p>
    <w:p w:rsidR="00190D2E" w:rsidRDefault="00190D2E" w:rsidP="00583B4E">
      <w:pPr>
        <w:spacing w:after="240" w:line="480" w:lineRule="auto"/>
        <w:ind w:firstLine="720"/>
        <w:rPr>
          <w:b/>
        </w:rPr>
      </w:pPr>
    </w:p>
    <w:p w:rsidR="00190D2E" w:rsidRDefault="00190D2E" w:rsidP="00583B4E">
      <w:pPr>
        <w:spacing w:after="240" w:line="480" w:lineRule="auto"/>
        <w:rPr>
          <w:b/>
        </w:rPr>
      </w:pPr>
    </w:p>
    <w:p w:rsidR="00190D2E" w:rsidRDefault="00190D2E" w:rsidP="00583B4E">
      <w:pPr>
        <w:spacing w:after="240" w:line="480" w:lineRule="auto"/>
        <w:rPr>
          <w:b/>
        </w:rPr>
      </w:pPr>
    </w:p>
    <w:p w:rsidR="00265126" w:rsidRPr="00265126" w:rsidRDefault="00265126" w:rsidP="00583B4E">
      <w:pPr>
        <w:spacing w:after="240" w:line="480" w:lineRule="auto"/>
        <w:jc w:val="center"/>
        <w:rPr>
          <w:b/>
        </w:rPr>
      </w:pPr>
      <w:r w:rsidRPr="00265126">
        <w:rPr>
          <w:b/>
        </w:rPr>
        <w:lastRenderedPageBreak/>
        <w:t>Sony Financial Holdings</w:t>
      </w:r>
      <w:r w:rsidR="00583B4E">
        <w:rPr>
          <w:b/>
        </w:rPr>
        <w:t xml:space="preserve"> Investment</w:t>
      </w:r>
    </w:p>
    <w:p w:rsidR="004A0280" w:rsidRDefault="00266A01" w:rsidP="00583B4E">
      <w:pPr>
        <w:spacing w:after="240" w:line="480" w:lineRule="auto"/>
        <w:ind w:firstLine="720"/>
      </w:pPr>
      <w:r>
        <w:t xml:space="preserve">Sony financial holding is a financial and insurance service business with its headquarters located in Tokyo, Japan. It operates in life and non-life insurance, online banking, nurse care, credit card settlement, and venture capital. Finally, it provides banking services and insurance through operations subsidiaries such as Sony Bank and Sony life. Life insurance services policies and planning partner with Applied Molecular </w:t>
      </w:r>
      <w:r w:rsidR="00265126">
        <w:t>Genetics</w:t>
      </w:r>
      <w:r>
        <w:t xml:space="preserve"> Inc. (AEGON) in order to offer annuities. Sony bank mainly operates online through mobile banking. Physical transactions are conveniently available at ATMs in Japan. On the other hand, Bank subsidiary Sony Securities provides securities brokerage services</w:t>
      </w:r>
      <w:r w:rsidR="00190D2E">
        <w:t xml:space="preserve"> (Hong, 2018)</w:t>
      </w:r>
      <w:r>
        <w:t>. In other words, the overall financial and insurance services include loans, investment advice, financial services, insurance products, trading financial instruments, and transaction processing, and asset management.</w:t>
      </w:r>
    </w:p>
    <w:p w:rsidR="004A0280" w:rsidRDefault="00266A01" w:rsidP="00583B4E">
      <w:pPr>
        <w:spacing w:before="240" w:after="240" w:line="480" w:lineRule="auto"/>
        <w:ind w:firstLine="720"/>
      </w:pPr>
      <w:r>
        <w:t>The firm liquidizes or changes ownership of financial assets such as bonds, stock, and insurance. Insurance services account for 50% of sector revenue, followed by 35% of lending and, finally, 15% in securities services. The firm wishes to extend its services in Malaysia. It wishes to merge with Alliance Financial Group Berhad in Malaysia to enhance the wealth of its shareholders via value creation. However, the company faces competition from firms such as Meiji Yasuda Life insurance and AMMB Holdings Berhad in Malaysia, a top financial service firm in the country. The firm controls subsidiaries and affiliates offering businesses and individuals with massive financial services throughout Malaysia.</w:t>
      </w:r>
    </w:p>
    <w:p w:rsidR="00190D2E" w:rsidRDefault="00190D2E" w:rsidP="00583B4E">
      <w:pPr>
        <w:spacing w:before="240" w:after="240" w:line="480" w:lineRule="auto"/>
        <w:ind w:firstLine="720"/>
      </w:pPr>
    </w:p>
    <w:p w:rsidR="004A0280" w:rsidRDefault="004A0280" w:rsidP="00583B4E">
      <w:pPr>
        <w:spacing w:before="240" w:after="240" w:line="480" w:lineRule="auto"/>
        <w:ind w:firstLine="720"/>
      </w:pPr>
    </w:p>
    <w:p w:rsidR="004A0280" w:rsidRPr="00265126" w:rsidRDefault="00190D2E" w:rsidP="00583B4E">
      <w:pPr>
        <w:spacing w:before="240" w:after="240" w:line="480" w:lineRule="auto"/>
        <w:ind w:firstLine="720"/>
        <w:rPr>
          <w:b/>
        </w:rPr>
      </w:pPr>
      <w:r>
        <w:rPr>
          <w:b/>
        </w:rPr>
        <w:lastRenderedPageBreak/>
        <w:t xml:space="preserve">            </w:t>
      </w:r>
      <w:r w:rsidR="00266A01" w:rsidRPr="00265126">
        <w:rPr>
          <w:b/>
        </w:rPr>
        <w:t>World Bank/Inter-American Development Bank Loan</w:t>
      </w:r>
    </w:p>
    <w:p w:rsidR="00583B4E" w:rsidRDefault="00266A01" w:rsidP="00583B4E">
      <w:pPr>
        <w:spacing w:before="240" w:after="240" w:line="480" w:lineRule="auto"/>
        <w:ind w:firstLine="720"/>
      </w:pPr>
      <w:r>
        <w:t xml:space="preserve">Malaysia joined the World Bank after its independence in 1958. The bank continues to work closely with Malaysia by identifying necessary areas of growth in the country. The country first received a World Bank loan in 1958, providing 70% of the fund proposed by the country. The loan was a part of the long-term plan to develop energy infrastructure in the country. The loan boosted hydroelectric power stations channeling waterways that flowed through the plateau-region. The project resulted into new power stations and concrete damn. </w:t>
      </w:r>
    </w:p>
    <w:p w:rsidR="004A0280" w:rsidRDefault="00266A01" w:rsidP="00583B4E">
      <w:pPr>
        <w:spacing w:before="240" w:after="240" w:line="480" w:lineRule="auto"/>
        <w:ind w:firstLine="720"/>
      </w:pPr>
      <w:r>
        <w:t>In the 1990s, the country continued receiving loans from the World Bank. The fund was aimed at assisting the development and diversification of the state of the agricultural and community-based economy.</w:t>
      </w:r>
      <w:r w:rsidR="00265126">
        <w:t xml:space="preserve"> Besides the loan boosted n0n-performing loans of commercial banks in the country. (Ismael</w:t>
      </w:r>
      <w:r w:rsidR="00C15DC0">
        <w:t xml:space="preserve"> et al.</w:t>
      </w:r>
      <w:r w:rsidR="00265126">
        <w:t>, 2017).</w:t>
      </w:r>
      <w:r>
        <w:t xml:space="preserve"> The country's economy has been transformed to upper-middle-income elevating extreme poverty as a result of agricultural transformation. As a result, new technology in the agriculture sector enabled farmers to produce more with less labor. Due to increased relationships with the World Bank, the country opted to seek relations through a reimbursable advisory service framework. The country currently operated and interacted with the World Bank as an upper-middle-income as member of the International Development Association (IDA).</w:t>
      </w:r>
    </w:p>
    <w:p w:rsidR="004A0280" w:rsidRDefault="00190D2E" w:rsidP="00583B4E">
      <w:pPr>
        <w:spacing w:before="240" w:after="240" w:line="480" w:lineRule="auto"/>
        <w:ind w:firstLine="720"/>
      </w:pPr>
      <w:r>
        <w:rPr>
          <w:b/>
        </w:rPr>
        <w:t xml:space="preserve">                            </w:t>
      </w:r>
      <w:r w:rsidR="00266A01" w:rsidRPr="00265126">
        <w:rPr>
          <w:b/>
        </w:rPr>
        <w:t>Malaysia financial institutions</w:t>
      </w:r>
      <w:r w:rsidR="00266A01">
        <w:t>.</w:t>
      </w:r>
    </w:p>
    <w:p w:rsidR="004A0280" w:rsidRDefault="00266A01" w:rsidP="00583B4E">
      <w:pPr>
        <w:spacing w:before="240" w:after="240" w:line="480" w:lineRule="auto"/>
        <w:ind w:firstLine="720"/>
      </w:pPr>
      <w:r>
        <w:t>In Southeast Asia, Malaysia has the largest financial institutions. The banks offer incredible banking and financial services in the country. The financial institutions are governed and controlled by Bank Negara Malaysia, established in 1959, immediately after the country received its first World Bank loan. Its primary responsibilities include monetary promotion and ensuring financial stability. The country comprises 27 commercial banks, 11 investment banks, 8 Islamic banks, and several non-financial institutions. Notably, Malayan Banking Berhad is popularly known as Maybank, the largest bank in the country in terms of market capitalization and total assets. Its net worth is approximately MYR 6.48 billion in 2020, with total assets totaling MYR 877.52 billion in 2021</w:t>
      </w:r>
      <w:r w:rsidR="00C15DC0">
        <w:t>(Tan, Chew &amp; Hamid, 2017)</w:t>
      </w:r>
      <w:r>
        <w:t>. Ringgit remains one of the undervalued currencies in Asia. In March 2021, the currency appeared weaker against the US dollar. When Malaysia's external developments turn positive, the ringgit is expected to recover against the US dollar at the end of 2021.</w:t>
      </w:r>
    </w:p>
    <w:p w:rsidR="004A0280" w:rsidRPr="00265126" w:rsidRDefault="00190D2E" w:rsidP="00583B4E">
      <w:pPr>
        <w:spacing w:before="240" w:after="240" w:line="480" w:lineRule="auto"/>
        <w:ind w:firstLine="720"/>
        <w:rPr>
          <w:b/>
        </w:rPr>
      </w:pPr>
      <w:r>
        <w:rPr>
          <w:b/>
        </w:rPr>
        <w:t xml:space="preserve">                              </w:t>
      </w:r>
      <w:r w:rsidR="00266A01" w:rsidRPr="00265126">
        <w:rPr>
          <w:b/>
        </w:rPr>
        <w:t>Hedge firm tools utilization</w:t>
      </w:r>
    </w:p>
    <w:p w:rsidR="004A0280" w:rsidRDefault="00266A01" w:rsidP="00583B4E">
      <w:pPr>
        <w:spacing w:before="240" w:after="240" w:line="480" w:lineRule="auto"/>
        <w:ind w:firstLine="720"/>
      </w:pPr>
      <w:r>
        <w:t xml:space="preserve">When a company decides to invest in a foreign country, there are high possibilities that the firm portfolio may face currency risk, negatively affecting overall investment return. However, Sony Financial Holdings can utilize hedging tools to mitigate the risk. Hedging tools safeguard foreign investment from currency exposure when the funds are converted back into the home country. Hedging strategies are rules and procedures that SFH to protect their profit margins from foreign exchange volatility. The various hedging tools include forward contracts, currency swaps, and options. The tools reduce any chances of exchange fluctuation and thus protect SFH investment from the risk of losing value. Forward contracts enable the firm to agree with the hedge firm to exchange the currency at a future date. Cross-currency swap aid in hedging the risk id inflated interest rates, protecting SFH from interest rate </w:t>
      </w:r>
      <w:r w:rsidR="00C15DC0">
        <w:t>risk (Ahmad et al</w:t>
      </w:r>
      <w:r>
        <w:t>.</w:t>
      </w:r>
      <w:r w:rsidR="00C15DC0">
        <w:t>, 2020).</w:t>
      </w:r>
    </w:p>
    <w:p w:rsidR="004A0280" w:rsidRPr="00265126" w:rsidRDefault="00190D2E" w:rsidP="00583B4E">
      <w:pPr>
        <w:spacing w:before="240" w:after="240" w:line="480" w:lineRule="auto"/>
        <w:ind w:firstLine="720"/>
        <w:rPr>
          <w:b/>
        </w:rPr>
      </w:pPr>
      <w:r>
        <w:rPr>
          <w:b/>
        </w:rPr>
        <w:t xml:space="preserve">                        </w:t>
      </w:r>
      <w:r w:rsidR="00266A01" w:rsidRPr="00265126">
        <w:rPr>
          <w:b/>
        </w:rPr>
        <w:t>Leveraging Malaysia Capital Markets</w:t>
      </w:r>
    </w:p>
    <w:p w:rsidR="004A0280" w:rsidRDefault="00266A01" w:rsidP="00583B4E">
      <w:pPr>
        <w:spacing w:before="240" w:after="240" w:line="480" w:lineRule="auto"/>
        <w:ind w:firstLine="720"/>
      </w:pPr>
      <w:r>
        <w:t>Sony Financial Holding can use borrowed capital from Malaysia capital markets as a funding source for their merging operations to increase the firm's assets and generate returns in risk capital. The firms utilize borrowed money or financial instruments to increase their investment returns. The borrowed capital can enable the firms to finance their assets rather than issuing stock to increase their stock. Since SFH's goal is to create shareholder value, the use of borrowed capital helps the firm invest in business operations to achieve its goals. Therefore, the firms will be able to conduct their investment operations successfully.</w:t>
      </w:r>
    </w:p>
    <w:p w:rsidR="004A0280" w:rsidRPr="00265126" w:rsidRDefault="00190D2E" w:rsidP="00583B4E">
      <w:pPr>
        <w:spacing w:before="240" w:after="240" w:line="480" w:lineRule="auto"/>
        <w:ind w:firstLine="720"/>
        <w:rPr>
          <w:b/>
        </w:rPr>
      </w:pPr>
      <w:r>
        <w:rPr>
          <w:b/>
        </w:rPr>
        <w:t xml:space="preserve">                            </w:t>
      </w:r>
      <w:r w:rsidR="00266A01" w:rsidRPr="00265126">
        <w:rPr>
          <w:b/>
        </w:rPr>
        <w:t>Foreign government consideration</w:t>
      </w:r>
    </w:p>
    <w:p w:rsidR="004A0280" w:rsidRDefault="00266A01" w:rsidP="00583B4E">
      <w:pPr>
        <w:spacing w:before="240" w:after="240" w:line="480" w:lineRule="auto"/>
        <w:ind w:firstLine="720"/>
      </w:pPr>
      <w:r>
        <w:t xml:space="preserve">Malaysia's government authority, policies, and regulations are essential when evaluating the success of the firm's investment. The firms need to have a clear understanding of the policies and procedures of the host government country. The currency exchange rates offered by the Malaysian banks will affect the firm's operations. Lower interest rates will positively benefit the firm's operation and long-term </w:t>
      </w:r>
      <w:r w:rsidR="00DD3BBC">
        <w:t xml:space="preserve">returns (Gerardi, Loewenstein, and </w:t>
      </w:r>
      <w:r w:rsidR="00C15DC0">
        <w:t>Willen, 2021)</w:t>
      </w:r>
      <w:r>
        <w:t>. Access to capital is another consideration. If Malaysia allows the firm to have easy access to capital markets, the company can leverage borrowed capital to create value and increase its shareholders' wealth. Finally, attractive government incentives and aid will be essential in the success of the firm.</w:t>
      </w:r>
    </w:p>
    <w:p w:rsidR="004A0280" w:rsidRPr="00265126" w:rsidRDefault="00190D2E" w:rsidP="00583B4E">
      <w:pPr>
        <w:spacing w:before="240" w:after="240" w:line="480" w:lineRule="auto"/>
        <w:ind w:firstLine="720"/>
        <w:rPr>
          <w:b/>
        </w:rPr>
      </w:pPr>
      <w:r>
        <w:rPr>
          <w:b/>
        </w:rPr>
        <w:t xml:space="preserve">                            </w:t>
      </w:r>
      <w:r w:rsidR="00266A01" w:rsidRPr="00265126">
        <w:rPr>
          <w:b/>
        </w:rPr>
        <w:t>SFH structure an</w:t>
      </w:r>
      <w:r>
        <w:rPr>
          <w:b/>
        </w:rPr>
        <w:t>d its effectiveness</w:t>
      </w:r>
    </w:p>
    <w:p w:rsidR="00190D2E" w:rsidRDefault="00266A01" w:rsidP="00DD3BBC">
      <w:pPr>
        <w:spacing w:before="240" w:after="240" w:line="480" w:lineRule="auto"/>
        <w:ind w:firstLine="720"/>
      </w:pPr>
      <w:r>
        <w:t>The firm offers quality life and non-life insurance and banking services to individuals as well as business customers. It provides medical, death protection, living benefits, cancer, and education endowment insurance products to benefit Malaysian citizens. Besides, the firm offers whole life insurance and automobile insurance. Insurance coverage will enhance the business operations and education system in Malaysia. Additionally, Sony Financial Holdings provides quality banking products and services, including mortgage loans, cash cards, and foreign currency deposits. The financial services will boost businesses and large companies in Malaysia. Merging with Alliance Financial Group Berhad will benefit its long-term goals and benefit the host country in business operations.</w:t>
      </w:r>
    </w:p>
    <w:p w:rsidR="00190D2E" w:rsidRDefault="00190D2E" w:rsidP="00583B4E">
      <w:pPr>
        <w:spacing w:before="240" w:after="240" w:line="480" w:lineRule="auto"/>
      </w:pPr>
    </w:p>
    <w:p w:rsidR="00190D2E" w:rsidRDefault="00190D2E" w:rsidP="00583B4E">
      <w:pPr>
        <w:spacing w:before="240" w:after="240" w:line="480" w:lineRule="auto"/>
      </w:pPr>
    </w:p>
    <w:p w:rsidR="00190D2E" w:rsidRDefault="00190D2E" w:rsidP="00583B4E">
      <w:pPr>
        <w:spacing w:before="240" w:after="240" w:line="480" w:lineRule="auto"/>
      </w:pPr>
    </w:p>
    <w:p w:rsidR="00190D2E" w:rsidRDefault="00190D2E" w:rsidP="00583B4E">
      <w:pPr>
        <w:spacing w:before="240" w:after="240" w:line="480" w:lineRule="auto"/>
      </w:pPr>
    </w:p>
    <w:p w:rsidR="00190D2E" w:rsidRDefault="00190D2E" w:rsidP="00583B4E">
      <w:pPr>
        <w:spacing w:before="240" w:after="240" w:line="480" w:lineRule="auto"/>
      </w:pPr>
    </w:p>
    <w:p w:rsidR="00190D2E" w:rsidRDefault="00190D2E" w:rsidP="00583B4E">
      <w:pPr>
        <w:spacing w:before="240" w:after="240" w:line="480" w:lineRule="auto"/>
      </w:pPr>
    </w:p>
    <w:p w:rsidR="00265126" w:rsidRDefault="00265126" w:rsidP="00583B4E">
      <w:pPr>
        <w:spacing w:before="240" w:after="240" w:line="480" w:lineRule="auto"/>
      </w:pPr>
    </w:p>
    <w:p w:rsidR="00190D2E" w:rsidRDefault="00190D2E" w:rsidP="00583B4E">
      <w:pPr>
        <w:spacing w:before="240" w:after="240" w:line="480" w:lineRule="auto"/>
      </w:pPr>
    </w:p>
    <w:p w:rsidR="00DD3BBC" w:rsidRDefault="00DD3BBC">
      <w:r>
        <w:br w:type="page"/>
      </w:r>
    </w:p>
    <w:p w:rsidR="00265126" w:rsidRDefault="00265126" w:rsidP="00583B4E">
      <w:pPr>
        <w:spacing w:before="240" w:after="240" w:line="480" w:lineRule="auto"/>
        <w:ind w:left="2880" w:firstLine="720"/>
      </w:pPr>
      <w:r>
        <w:t>References</w:t>
      </w:r>
    </w:p>
    <w:p w:rsidR="00C15DC0" w:rsidRDefault="00C15DC0" w:rsidP="00583B4E">
      <w:pPr>
        <w:spacing w:line="480" w:lineRule="auto"/>
        <w:ind w:left="720" w:hanging="720"/>
      </w:pPr>
      <w:r>
        <w:t xml:space="preserve">Ahmad, A. A., Dasar, M. H. M., &amp; NikAbdGhani, N. A. R. (2020). </w:t>
      </w:r>
      <w:r w:rsidR="00DD3BBC">
        <w:t>Principles of Islamic Ethics in The Islamic Foreign Exchange Swap in Islamic Banking Malaysia</w:t>
      </w:r>
      <w:r>
        <w:t xml:space="preserve">. </w:t>
      </w:r>
      <w:r>
        <w:rPr>
          <w:i/>
          <w:iCs/>
        </w:rPr>
        <w:t>Hamdard Islamicus</w:t>
      </w:r>
      <w:r>
        <w:t xml:space="preserve">, </w:t>
      </w:r>
      <w:r>
        <w:rPr>
          <w:i/>
          <w:iCs/>
        </w:rPr>
        <w:t>43</w:t>
      </w:r>
      <w:r>
        <w:t>(Special Issue).</w:t>
      </w:r>
    </w:p>
    <w:p w:rsidR="00190D2E" w:rsidRDefault="00C15DC0" w:rsidP="00583B4E">
      <w:pPr>
        <w:spacing w:line="480" w:lineRule="auto"/>
        <w:ind w:left="720" w:hanging="720"/>
      </w:pPr>
      <w:r>
        <w:t xml:space="preserve">Gerardi, K., Loewenstein, L., &amp; Willen, P. S. (2021). Evaluating the benefits of a streamlined refinance program. </w:t>
      </w:r>
      <w:r>
        <w:rPr>
          <w:i/>
          <w:iCs/>
        </w:rPr>
        <w:t>Housing Policy Debate</w:t>
      </w:r>
      <w:r>
        <w:t xml:space="preserve">, </w:t>
      </w:r>
      <w:r>
        <w:rPr>
          <w:i/>
          <w:iCs/>
        </w:rPr>
        <w:t>31</w:t>
      </w:r>
      <w:r>
        <w:t>(1), 51-65.</w:t>
      </w:r>
    </w:p>
    <w:p w:rsidR="00C15DC0" w:rsidRDefault="00190D2E" w:rsidP="00583B4E">
      <w:pPr>
        <w:spacing w:line="480" w:lineRule="auto"/>
        <w:ind w:left="720" w:hanging="720"/>
      </w:pPr>
      <w:r>
        <w:t>Hong, S. (2018). Financial Situation Assessment of the Sony Corporation.</w:t>
      </w:r>
    </w:p>
    <w:p w:rsidR="00265126" w:rsidRDefault="00265126" w:rsidP="00583B4E">
      <w:pPr>
        <w:spacing w:before="240" w:after="240" w:line="480" w:lineRule="auto"/>
        <w:ind w:left="720" w:hanging="720"/>
      </w:pPr>
      <w:r>
        <w:t>Ismail, N., Azlan, N. D. A., Husin, M. M., Ishak, I., &amp; Hashim</w:t>
      </w:r>
      <w:bookmarkStart w:id="0" w:name="_GoBack"/>
      <w:bookmarkEnd w:id="0"/>
      <w:r>
        <w:t xml:space="preserve">, S. L. M. (2017). Bank Efficiencies and Non-Performing Loan of Commercial Banks in Malaysia. </w:t>
      </w:r>
      <w:r>
        <w:rPr>
          <w:i/>
          <w:iCs/>
        </w:rPr>
        <w:t>Journal of Humanities, Language, Culture and Business (HLCB)</w:t>
      </w:r>
      <w:r>
        <w:t xml:space="preserve">, </w:t>
      </w:r>
      <w:r>
        <w:rPr>
          <w:i/>
          <w:iCs/>
        </w:rPr>
        <w:t>1</w:t>
      </w:r>
      <w:r>
        <w:t>(5), 34-40.</w:t>
      </w:r>
    </w:p>
    <w:p w:rsidR="00C15DC0" w:rsidRDefault="00C15DC0" w:rsidP="00583B4E">
      <w:pPr>
        <w:spacing w:line="480" w:lineRule="auto"/>
        <w:ind w:left="720" w:hanging="720"/>
      </w:pPr>
      <w:r>
        <w:t xml:space="preserve">Tan, L. H., Chew, B. C., &amp; Hamid, S. R. (2017). A holistic perspective on sustainable banking operating system drivers: A case study of Maybank group. </w:t>
      </w:r>
      <w:r>
        <w:rPr>
          <w:i/>
          <w:iCs/>
        </w:rPr>
        <w:t>Qualitative Research in Financial Markets</w:t>
      </w:r>
      <w:r>
        <w:t>.</w:t>
      </w:r>
    </w:p>
    <w:p w:rsidR="00C15DC0" w:rsidRDefault="00C15DC0" w:rsidP="00583B4E">
      <w:pPr>
        <w:spacing w:before="240" w:after="240" w:line="480" w:lineRule="auto"/>
        <w:ind w:left="720" w:hanging="720"/>
      </w:pPr>
    </w:p>
    <w:sectPr w:rsidR="00C15DC0">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A01" w:rsidRDefault="00266A01" w:rsidP="00190D2E">
      <w:r>
        <w:separator/>
      </w:r>
    </w:p>
  </w:endnote>
  <w:endnote w:type="continuationSeparator" w:id="0">
    <w:p w:rsidR="00266A01" w:rsidRDefault="00266A01" w:rsidP="0019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A01" w:rsidRDefault="00266A01" w:rsidP="00190D2E">
      <w:r>
        <w:separator/>
      </w:r>
    </w:p>
  </w:footnote>
  <w:footnote w:type="continuationSeparator" w:id="0">
    <w:p w:rsidR="00266A01" w:rsidRDefault="00266A01" w:rsidP="00190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585949"/>
      <w:docPartObj>
        <w:docPartGallery w:val="Page Numbers (Top of Page)"/>
        <w:docPartUnique/>
      </w:docPartObj>
    </w:sdtPr>
    <w:sdtEndPr>
      <w:rPr>
        <w:noProof/>
      </w:rPr>
    </w:sdtEndPr>
    <w:sdtContent>
      <w:p w:rsidR="00190D2E" w:rsidRDefault="00190D2E">
        <w:pPr>
          <w:pStyle w:val="Header"/>
          <w:jc w:val="right"/>
        </w:pPr>
        <w:r>
          <w:fldChar w:fldCharType="begin"/>
        </w:r>
        <w:r>
          <w:instrText xml:space="preserve"> PAGE   \* MERGEFORMAT </w:instrText>
        </w:r>
        <w:r>
          <w:fldChar w:fldCharType="separate"/>
        </w:r>
        <w:r w:rsidR="00DD3BBC">
          <w:rPr>
            <w:noProof/>
          </w:rPr>
          <w:t>7</w:t>
        </w:r>
        <w:r>
          <w:rPr>
            <w:noProof/>
          </w:rPr>
          <w:fldChar w:fldCharType="end"/>
        </w:r>
      </w:p>
    </w:sdtContent>
  </w:sdt>
  <w:p w:rsidR="00190D2E" w:rsidRDefault="00190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80"/>
    <w:rsid w:val="00190D2E"/>
    <w:rsid w:val="00265126"/>
    <w:rsid w:val="00266A01"/>
    <w:rsid w:val="004A0280"/>
    <w:rsid w:val="00583B4E"/>
    <w:rsid w:val="00C15DC0"/>
    <w:rsid w:val="00DD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3917"/>
  <w15:docId w15:val="{F6B8D8C2-EEE8-4212-B36F-4D1195FE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90D2E"/>
    <w:pPr>
      <w:tabs>
        <w:tab w:val="center" w:pos="4680"/>
        <w:tab w:val="right" w:pos="9360"/>
      </w:tabs>
    </w:pPr>
  </w:style>
  <w:style w:type="character" w:customStyle="1" w:styleId="HeaderChar">
    <w:name w:val="Header Char"/>
    <w:basedOn w:val="DefaultParagraphFont"/>
    <w:link w:val="Header"/>
    <w:uiPriority w:val="99"/>
    <w:rsid w:val="00190D2E"/>
    <w:rPr>
      <w:sz w:val="24"/>
      <w:szCs w:val="24"/>
    </w:rPr>
  </w:style>
  <w:style w:type="paragraph" w:styleId="Footer">
    <w:name w:val="footer"/>
    <w:basedOn w:val="Normal"/>
    <w:link w:val="FooterChar"/>
    <w:uiPriority w:val="99"/>
    <w:unhideWhenUsed/>
    <w:rsid w:val="00190D2E"/>
    <w:pPr>
      <w:tabs>
        <w:tab w:val="center" w:pos="4680"/>
        <w:tab w:val="right" w:pos="9360"/>
      </w:tabs>
    </w:pPr>
  </w:style>
  <w:style w:type="character" w:customStyle="1" w:styleId="FooterChar">
    <w:name w:val="Footer Char"/>
    <w:basedOn w:val="DefaultParagraphFont"/>
    <w:link w:val="Footer"/>
    <w:uiPriority w:val="99"/>
    <w:rsid w:val="00190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7947">
      <w:bodyDiv w:val="1"/>
      <w:marLeft w:val="0"/>
      <w:marRight w:val="0"/>
      <w:marTop w:val="0"/>
      <w:marBottom w:val="0"/>
      <w:divBdr>
        <w:top w:val="none" w:sz="0" w:space="0" w:color="auto"/>
        <w:left w:val="none" w:sz="0" w:space="0" w:color="auto"/>
        <w:bottom w:val="none" w:sz="0" w:space="0" w:color="auto"/>
        <w:right w:val="none" w:sz="0" w:space="0" w:color="auto"/>
      </w:divBdr>
      <w:divsChild>
        <w:div w:id="1314414195">
          <w:marLeft w:val="0"/>
          <w:marRight w:val="0"/>
          <w:marTop w:val="0"/>
          <w:marBottom w:val="0"/>
          <w:divBdr>
            <w:top w:val="none" w:sz="0" w:space="0" w:color="auto"/>
            <w:left w:val="none" w:sz="0" w:space="0" w:color="auto"/>
            <w:bottom w:val="none" w:sz="0" w:space="0" w:color="auto"/>
            <w:right w:val="none" w:sz="0" w:space="0" w:color="auto"/>
          </w:divBdr>
        </w:div>
      </w:divsChild>
    </w:div>
    <w:div w:id="1830513522">
      <w:bodyDiv w:val="1"/>
      <w:marLeft w:val="0"/>
      <w:marRight w:val="0"/>
      <w:marTop w:val="0"/>
      <w:marBottom w:val="0"/>
      <w:divBdr>
        <w:top w:val="none" w:sz="0" w:space="0" w:color="auto"/>
        <w:left w:val="none" w:sz="0" w:space="0" w:color="auto"/>
        <w:bottom w:val="none" w:sz="0" w:space="0" w:color="auto"/>
        <w:right w:val="none" w:sz="0" w:space="0" w:color="auto"/>
      </w:divBdr>
      <w:divsChild>
        <w:div w:id="702052617">
          <w:marLeft w:val="0"/>
          <w:marRight w:val="0"/>
          <w:marTop w:val="0"/>
          <w:marBottom w:val="0"/>
          <w:divBdr>
            <w:top w:val="none" w:sz="0" w:space="0" w:color="auto"/>
            <w:left w:val="none" w:sz="0" w:space="0" w:color="auto"/>
            <w:bottom w:val="none" w:sz="0" w:space="0" w:color="auto"/>
            <w:right w:val="none" w:sz="0" w:space="0" w:color="auto"/>
          </w:divBdr>
        </w:div>
      </w:divsChild>
    </w:div>
    <w:div w:id="2060745222">
      <w:bodyDiv w:val="1"/>
      <w:marLeft w:val="0"/>
      <w:marRight w:val="0"/>
      <w:marTop w:val="0"/>
      <w:marBottom w:val="0"/>
      <w:divBdr>
        <w:top w:val="none" w:sz="0" w:space="0" w:color="auto"/>
        <w:left w:val="none" w:sz="0" w:space="0" w:color="auto"/>
        <w:bottom w:val="none" w:sz="0" w:space="0" w:color="auto"/>
        <w:right w:val="none" w:sz="0" w:space="0" w:color="auto"/>
      </w:divBdr>
      <w:divsChild>
        <w:div w:id="1177698168">
          <w:marLeft w:val="0"/>
          <w:marRight w:val="0"/>
          <w:marTop w:val="0"/>
          <w:marBottom w:val="0"/>
          <w:divBdr>
            <w:top w:val="none" w:sz="0" w:space="0" w:color="auto"/>
            <w:left w:val="none" w:sz="0" w:space="0" w:color="auto"/>
            <w:bottom w:val="none" w:sz="0" w:space="0" w:color="auto"/>
            <w:right w:val="none" w:sz="0" w:space="0" w:color="auto"/>
          </w:divBdr>
        </w:div>
      </w:divsChild>
    </w:div>
    <w:div w:id="2105955069">
      <w:bodyDiv w:val="1"/>
      <w:marLeft w:val="0"/>
      <w:marRight w:val="0"/>
      <w:marTop w:val="0"/>
      <w:marBottom w:val="0"/>
      <w:divBdr>
        <w:top w:val="none" w:sz="0" w:space="0" w:color="auto"/>
        <w:left w:val="none" w:sz="0" w:space="0" w:color="auto"/>
        <w:bottom w:val="none" w:sz="0" w:space="0" w:color="auto"/>
        <w:right w:val="none" w:sz="0" w:space="0" w:color="auto"/>
      </w:divBdr>
      <w:divsChild>
        <w:div w:id="1862427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3</cp:revision>
  <dcterms:created xsi:type="dcterms:W3CDTF">2021-06-28T16:32:00Z</dcterms:created>
  <dcterms:modified xsi:type="dcterms:W3CDTF">2021-06-28T16:33:00Z</dcterms:modified>
</cp:coreProperties>
</file>